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KARTA KURSU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114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0" w:noVBand="0" w:lastRow="0" w:firstColumn="0" w:lastColumn="0" w:noHBand="0" w:val="0000"/>
      </w:tblPr>
      <w:tblGrid>
        <w:gridCol w:w="1982"/>
        <w:gridCol w:w="7658"/>
      </w:tblGrid>
      <w:tr>
        <w:trPr>
          <w:trHeight w:val="395" w:hRule="atLeast"/>
        </w:trPr>
        <w:tc>
          <w:tcPr>
            <w:tcW w:w="198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Nazwa</w:t>
            </w:r>
          </w:p>
        </w:tc>
        <w:tc>
          <w:tcPr>
            <w:tcW w:w="765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Czytanie świata: semiotyka, antropologia, krytyka literacka</w:t>
            </w:r>
          </w:p>
        </w:tc>
      </w:tr>
      <w:tr>
        <w:trPr>
          <w:trHeight w:val="379" w:hRule="atLeast"/>
        </w:trPr>
        <w:tc>
          <w:tcPr>
            <w:tcW w:w="198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Nazwa w j. ang.</w:t>
            </w:r>
          </w:p>
        </w:tc>
        <w:tc>
          <w:tcPr>
            <w:tcW w:w="765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cs="Arial" w:ascii="Arial" w:hAnsi="Arial"/>
                <w:sz w:val="22"/>
                <w:szCs w:val="22"/>
                <w:lang w:val="en-US"/>
              </w:rPr>
              <w:t>Reading the World: Semiotics, Anthropology, Literary Criticism</w:t>
            </w:r>
          </w:p>
        </w:tc>
      </w:tr>
    </w:tbl>
    <w:p>
      <w:pPr>
        <w:pStyle w:val="Normal"/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en-US"/>
        </w:rPr>
      </w:r>
    </w:p>
    <w:tbl>
      <w:tblPr>
        <w:tblW w:w="9640" w:type="dxa"/>
        <w:jc w:val="start"/>
        <w:tblInd w:w="-86" w:type="dxa"/>
        <w:tblLayout w:type="fixed"/>
        <w:tblCellMar>
          <w:top w:w="55" w:type="dxa"/>
          <w:start w:w="55" w:type="dxa"/>
          <w:bottom w:w="55" w:type="dxa"/>
          <w:end w:w="55" w:type="dxa"/>
        </w:tblCellMar>
        <w:tblLook w:firstRow="0" w:noVBand="0" w:lastRow="0" w:firstColumn="0" w:lastColumn="0" w:noHBand="0" w:val="0000"/>
      </w:tblPr>
      <w:tblGrid>
        <w:gridCol w:w="3186"/>
        <w:gridCol w:w="3190"/>
        <w:gridCol w:w="3264"/>
      </w:tblGrid>
      <w:tr>
        <w:trPr>
          <w:cantSplit w:val="true"/>
        </w:trPr>
        <w:tc>
          <w:tcPr>
            <w:tcW w:w="3186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dr Monika Woźniak</w:t>
            </w:r>
          </w:p>
        </w:tc>
        <w:tc>
          <w:tcPr>
            <w:tcW w:w="3264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Zespół dydaktyczny</w:t>
            </w:r>
          </w:p>
        </w:tc>
      </w:tr>
      <w:tr>
        <w:trPr>
          <w:trHeight w:val="367" w:hRule="atLeast"/>
          <w:cantSplit w:val="true"/>
        </w:trPr>
        <w:tc>
          <w:tcPr>
            <w:tcW w:w="3186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3190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3264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0"/>
                <w:szCs w:val="20"/>
              </w:rPr>
              <w:t>Katedra Literatury Nowoczesnej i Krytyki Literackiej</w:t>
            </w:r>
          </w:p>
        </w:tc>
      </w:tr>
      <w:tr>
        <w:trPr>
          <w:trHeight w:val="57" w:hRule="atLeast"/>
          <w:cantSplit w:val="true"/>
        </w:trPr>
        <w:tc>
          <w:tcPr>
            <w:tcW w:w="3186" w:type="dxa"/>
            <w:tcBorders>
              <w:top w:val="single" w:sz="2" w:space="0" w:color="95B3D7"/>
              <w:bottom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3264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3186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</w:t>
            </w:r>
          </w:p>
        </w:tc>
        <w:tc>
          <w:tcPr>
            <w:tcW w:w="3264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Opis kursu (cele kształcenia)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640"/>
      </w:tblGrid>
      <w:tr>
        <w:trPr>
          <w:trHeight w:val="1365" w:hRule="atLeast"/>
        </w:trPr>
        <w:tc>
          <w:tcPr>
            <w:tcW w:w="964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Kompetencje lekturowe są nie tylko kluczową sprawnością polonisty, tworzą też funkcjonalne podstawy poznawania i rozumienia świata, pozwalającą na aktywne budowanie kapitału życiowego i kulturowego, umożliwiają pogłębiony kontakt z tradycją, ze współczesnością, z samym sobą; celem zajęć jest wdrożenie słuchaczy w pogłębiony kanon czynności analitycznych i strategii lekturowych umożliwiających podejmowanie rzetelnych i twórczych interpretacji złożonych struktur semiotycznych.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Warunki wstępne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86" w:type="dxa"/>
        <w:tblLayout w:type="fixed"/>
        <w:tblCellMar>
          <w:top w:w="55" w:type="dxa"/>
          <w:start w:w="55" w:type="dxa"/>
          <w:bottom w:w="55" w:type="dxa"/>
          <w:end w:w="55" w:type="dxa"/>
        </w:tblCellMar>
        <w:tblLook w:firstRow="0" w:noVBand="0" w:lastRow="0" w:firstColumn="0" w:lastColumn="0" w:noHBand="0" w:val="0000"/>
      </w:tblPr>
      <w:tblGrid>
        <w:gridCol w:w="1938"/>
        <w:gridCol w:w="7702"/>
      </w:tblGrid>
      <w:tr>
        <w:trPr>
          <w:trHeight w:val="550" w:hRule="atLeast"/>
        </w:trPr>
        <w:tc>
          <w:tcPr>
            <w:tcW w:w="193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Wiedza</w:t>
            </w:r>
          </w:p>
        </w:tc>
        <w:tc>
          <w:tcPr>
            <w:tcW w:w="770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orientacja w podstawowych zagadnieniach semiotyki i antropologii</w:t>
            </w:r>
          </w:p>
        </w:tc>
      </w:tr>
      <w:tr>
        <w:trPr>
          <w:trHeight w:val="577" w:hRule="atLeast"/>
        </w:trPr>
        <w:tc>
          <w:tcPr>
            <w:tcW w:w="193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Umiejętności</w:t>
            </w:r>
          </w:p>
        </w:tc>
        <w:tc>
          <w:tcPr>
            <w:tcW w:w="770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sprawność w zakresie analizy i interpretacji prostych struktur semiotycznych</w:t>
            </w:r>
          </w:p>
        </w:tc>
      </w:tr>
      <w:tr>
        <w:trPr/>
        <w:tc>
          <w:tcPr>
            <w:tcW w:w="193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Kursy</w:t>
            </w:r>
          </w:p>
        </w:tc>
        <w:tc>
          <w:tcPr>
            <w:tcW w:w="770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zgodnie z programem studiów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/>
        <w:suppressAutoHyphens w:val="fals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  <w:r>
        <w:br w:type="page"/>
      </w:r>
    </w:p>
    <w:p>
      <w:pPr>
        <w:pStyle w:val="Normal"/>
        <w:spacing w:before="0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Efekty uczenia się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1979"/>
        <w:gridCol w:w="5296"/>
        <w:gridCol w:w="2365"/>
      </w:tblGrid>
      <w:tr>
        <w:trPr>
          <w:trHeight w:val="930" w:hRule="atLeast"/>
          <w:cantSplit w:val="true"/>
        </w:trPr>
        <w:tc>
          <w:tcPr>
            <w:tcW w:w="1979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Odniesienie do efektów kierunkowych</w:t>
            </w:r>
          </w:p>
        </w:tc>
      </w:tr>
      <w:tr>
        <w:trPr>
          <w:trHeight w:val="1240" w:hRule="atLeast"/>
          <w:cantSplit w:val="true"/>
        </w:trPr>
        <w:tc>
          <w:tcPr>
            <w:tcW w:w="1979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529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W01, po ukończeniu kursu student zna wybrane zagadnienia semiotyki i antropologii oraz badań literackich i kulturowych; posiada też orientację w strategiach pogłębionej analizy i interpretacji złożonych struktur semiotycznych</w:t>
            </w:r>
          </w:p>
        </w:tc>
        <w:tc>
          <w:tcPr>
            <w:tcW w:w="23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K_W 01, K_W 03, K_W 12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1982"/>
        <w:gridCol w:w="5248"/>
        <w:gridCol w:w="2410"/>
      </w:tblGrid>
      <w:tr>
        <w:trPr>
          <w:trHeight w:val="939" w:hRule="atLeast"/>
          <w:cantSplit w:val="true"/>
        </w:trPr>
        <w:tc>
          <w:tcPr>
            <w:tcW w:w="1982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Umiejętności</w:t>
            </w:r>
          </w:p>
        </w:tc>
        <w:tc>
          <w:tcPr>
            <w:tcW w:w="5248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Odniesienie do efektów kierunkowych</w:t>
            </w:r>
          </w:p>
        </w:tc>
      </w:tr>
      <w:tr>
        <w:trPr>
          <w:trHeight w:val="1316" w:hRule="atLeast"/>
          <w:cantSplit w:val="true"/>
        </w:trPr>
        <w:tc>
          <w:tcPr>
            <w:tcW w:w="1982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5248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U01, po ukończeniu kursu student jest wdrożony w kanon czynności analitycznych oraz strategii lekturowych umożliwiających podejmowanie rzetelnych i twórczych interpretacji złożonych struktur semiotycznych</w:t>
            </w:r>
          </w:p>
        </w:tc>
        <w:tc>
          <w:tcPr>
            <w:tcW w:w="241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K_U05, K_U07, K_U08 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1982"/>
        <w:gridCol w:w="5248"/>
        <w:gridCol w:w="2410"/>
      </w:tblGrid>
      <w:tr>
        <w:trPr>
          <w:trHeight w:val="800" w:hRule="atLeast"/>
          <w:cantSplit w:val="true"/>
        </w:trPr>
        <w:tc>
          <w:tcPr>
            <w:tcW w:w="1982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Kompetencje społeczne</w:t>
            </w:r>
          </w:p>
        </w:tc>
        <w:tc>
          <w:tcPr>
            <w:tcW w:w="5248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Odniesienie do efektów kierunkowych</w:t>
            </w:r>
          </w:p>
        </w:tc>
      </w:tr>
      <w:tr>
        <w:trPr>
          <w:trHeight w:val="1089" w:hRule="atLeast"/>
          <w:cantSplit w:val="true"/>
        </w:trPr>
        <w:tc>
          <w:tcPr>
            <w:tcW w:w="1982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5248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K01, po ukończeniu kursu student posiada kompetencje społeczne wynikające z umiejętności samodzielnej analizy i pogłębionej interpretacji złożonych struktur semiotycznych oraz z posiadania funkcjonalnych podstaw poznawania i rozumienia świata, pozwalających na aktywne budowanie kapitału życiowego i umożliwiających pogłębiony kontakt z tradycją, współczesnością i samym sobą</w:t>
            </w:r>
          </w:p>
        </w:tc>
        <w:tc>
          <w:tcPr>
            <w:tcW w:w="241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K_K02, K_K05, K_K06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114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0" w:noVBand="0" w:lastRow="0" w:firstColumn="0" w:lastColumn="0" w:noHBand="0" w:val="0000"/>
      </w:tblPr>
      <w:tblGrid>
        <w:gridCol w:w="1608"/>
        <w:gridCol w:w="1228"/>
        <w:gridCol w:w="850"/>
        <w:gridCol w:w="272"/>
        <w:gridCol w:w="862"/>
        <w:gridCol w:w="315"/>
        <w:gridCol w:w="816"/>
        <w:gridCol w:w="287"/>
        <w:gridCol w:w="850"/>
        <w:gridCol w:w="281"/>
        <w:gridCol w:w="851"/>
        <w:gridCol w:w="286"/>
        <w:gridCol w:w="847"/>
        <w:gridCol w:w="287"/>
      </w:tblGrid>
      <w:tr>
        <w:trPr>
          <w:trHeight w:val="424" w:hRule="exact"/>
          <w:cantSplit w:val="true"/>
        </w:trPr>
        <w:tc>
          <w:tcPr>
            <w:tcW w:w="9640" w:type="dxa"/>
            <w:gridSpan w:val="14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ind w:start="45" w:end="13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Organizacja</w:t>
            </w:r>
          </w:p>
        </w:tc>
      </w:tr>
      <w:tr>
        <w:trPr>
          <w:trHeight w:val="654" w:hRule="atLeast"/>
          <w:cantSplit w:val="true"/>
        </w:trPr>
        <w:tc>
          <w:tcPr>
            <w:tcW w:w="1608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Forma zajęć</w:t>
            </w:r>
          </w:p>
        </w:tc>
        <w:tc>
          <w:tcPr>
            <w:tcW w:w="1228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Wykład</w:t>
            </w:r>
          </w:p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Ćwiczenia w grupach</w:t>
            </w:r>
          </w:p>
        </w:tc>
      </w:tr>
      <w:tr>
        <w:trPr>
          <w:trHeight w:val="477" w:hRule="atLeast"/>
          <w:cantSplit w:val="true"/>
        </w:trPr>
        <w:tc>
          <w:tcPr>
            <w:tcW w:w="1608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228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50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6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16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L</w:t>
            </w:r>
          </w:p>
        </w:tc>
        <w:tc>
          <w:tcPr>
            <w:tcW w:w="28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50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</w:t>
            </w:r>
          </w:p>
        </w:tc>
        <w:tc>
          <w:tcPr>
            <w:tcW w:w="281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51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</w:t>
            </w:r>
          </w:p>
        </w:tc>
        <w:tc>
          <w:tcPr>
            <w:tcW w:w="286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4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</w:t>
            </w:r>
          </w:p>
        </w:tc>
        <w:tc>
          <w:tcPr>
            <w:tcW w:w="28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499" w:hRule="atLeast"/>
        </w:trPr>
        <w:tc>
          <w:tcPr>
            <w:tcW w:w="160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Liczba godzin</w:t>
            </w:r>
          </w:p>
        </w:tc>
        <w:tc>
          <w:tcPr>
            <w:tcW w:w="122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8</w:t>
            </w:r>
          </w:p>
        </w:tc>
        <w:tc>
          <w:tcPr>
            <w:tcW w:w="1122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77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8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31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37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462" w:hRule="atLeast"/>
        </w:trPr>
        <w:tc>
          <w:tcPr>
            <w:tcW w:w="160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22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22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77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31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37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Opis metod prowadzenia zajęć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502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502"/>
      </w:tblGrid>
      <w:tr>
        <w:trPr>
          <w:trHeight w:val="258" w:hRule="atLeast"/>
        </w:trPr>
        <w:tc>
          <w:tcPr>
            <w:tcW w:w="950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Zawartotabelius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wykład z elementami konwersatorium</w:t>
            </w:r>
          </w:p>
        </w:tc>
      </w:tr>
    </w:tbl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Formy sprawdzania efektów uczenia się</w:t>
      </w:r>
    </w:p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2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2"/>
        <w:gridCol w:w="663"/>
        <w:gridCol w:w="666"/>
        <w:gridCol w:w="669"/>
        <w:gridCol w:w="666"/>
        <w:gridCol w:w="664"/>
        <w:gridCol w:w="665"/>
        <w:gridCol w:w="669"/>
        <w:gridCol w:w="666"/>
        <w:gridCol w:w="564"/>
        <w:gridCol w:w="766"/>
        <w:gridCol w:w="669"/>
        <w:gridCol w:w="666"/>
        <w:gridCol w:w="666"/>
      </w:tblGrid>
      <w:tr>
        <w:trPr>
          <w:trHeight w:val="1616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3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E – </w:t>
            </w:r>
            <w:r>
              <w:rPr>
                <w:rFonts w:cs="Arial" w:ascii="Arial" w:hAnsi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Gry dydaktyczne</w:t>
            </w:r>
          </w:p>
        </w:tc>
        <w:tc>
          <w:tcPr>
            <w:tcW w:w="6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Zajęcia terenowe</w:t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Praca laboratoryjna</w:t>
            </w:r>
          </w:p>
        </w:tc>
        <w:tc>
          <w:tcPr>
            <w:tcW w:w="6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Projekt indywidualny</w:t>
            </w:r>
          </w:p>
        </w:tc>
        <w:tc>
          <w:tcPr>
            <w:tcW w:w="6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Referat</w:t>
            </w:r>
          </w:p>
        </w:tc>
        <w:tc>
          <w:tcPr>
            <w:tcW w:w="7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Praca pisemna (esej)</w:t>
            </w:r>
          </w:p>
        </w:tc>
        <w:tc>
          <w:tcPr>
            <w:tcW w:w="6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Inne</w:t>
            </w:r>
          </w:p>
        </w:tc>
      </w:tr>
      <w:tr>
        <w:trPr>
          <w:trHeight w:val="244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W01</w:t>
            </w:r>
          </w:p>
        </w:tc>
        <w:tc>
          <w:tcPr>
            <w:tcW w:w="663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44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U01</w:t>
            </w:r>
          </w:p>
        </w:tc>
        <w:tc>
          <w:tcPr>
            <w:tcW w:w="663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44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K01</w:t>
            </w:r>
          </w:p>
        </w:tc>
        <w:tc>
          <w:tcPr>
            <w:tcW w:w="663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114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0" w:noVBand="0" w:lastRow="0" w:firstColumn="0" w:lastColumn="0" w:noHBand="0" w:val="0000"/>
      </w:tblPr>
      <w:tblGrid>
        <w:gridCol w:w="1938"/>
        <w:gridCol w:w="7702"/>
      </w:tblGrid>
      <w:tr>
        <w:trPr/>
        <w:tc>
          <w:tcPr>
            <w:tcW w:w="193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Kryteria oceny</w:t>
            </w:r>
          </w:p>
        </w:tc>
        <w:tc>
          <w:tcPr>
            <w:tcW w:w="770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</w:tcPr>
          <w:p>
            <w:pPr>
              <w:pStyle w:val="Zawartotabeliuser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uczestnictwo i aktywny udział w zajęciach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09" w:type="dxa"/>
        <w:jc w:val="start"/>
        <w:tblInd w:w="-114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0" w:noVBand="0" w:lastRow="0" w:firstColumn="0" w:lastColumn="0" w:noHBand="0" w:val="0000"/>
      </w:tblPr>
      <w:tblGrid>
        <w:gridCol w:w="1934"/>
        <w:gridCol w:w="7675"/>
      </w:tblGrid>
      <w:tr>
        <w:trPr>
          <w:trHeight w:val="258" w:hRule="atLeast"/>
        </w:trPr>
        <w:tc>
          <w:tcPr>
            <w:tcW w:w="1934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spacing w:before="0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Uwagi</w:t>
            </w:r>
          </w:p>
        </w:tc>
        <w:tc>
          <w:tcPr>
            <w:tcW w:w="7675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</w:tcPr>
          <w:p>
            <w:pPr>
              <w:pStyle w:val="Zawartotabeliuser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zajęcia mogą być realizowane zdalnie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Treści merytoryczne (wykaz tematów)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22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622"/>
      </w:tblGrid>
      <w:tr>
        <w:trPr>
          <w:trHeight w:val="1136" w:hRule="atLeast"/>
        </w:trPr>
        <w:tc>
          <w:tcPr>
            <w:tcW w:w="962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Kurs obejmuje wybrane zagadnienia semiotyki i antropologii oraz badań literackich i kulturowych – omawiane w ścisłym powiązaniu z prezentacją modelowych analiz i interpretacji takich zjawisk i elementów ludzkiej rzeczywistości (kulturowych, wyobraźniowych, egzystencjalnych, duchowych etc.), które można traktować jako złożone struktury semiotyczne (teksty domagające się rozpoznania i zrozumienia).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Wykaz literatury podstawowej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22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622"/>
      </w:tblGrid>
      <w:tr>
        <w:trPr>
          <w:trHeight w:val="1098" w:hRule="atLeast"/>
        </w:trPr>
        <w:tc>
          <w:tcPr>
            <w:tcW w:w="962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U. Eco,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Czytanie świata</w:t>
            </w:r>
            <w:r>
              <w:rPr>
                <w:rFonts w:cs="Arial" w:ascii="Arial" w:hAnsi="Arial"/>
                <w:sz w:val="22"/>
                <w:szCs w:val="22"/>
              </w:rPr>
              <w:t>, przeł. M. Woźniak, Kraków 1999.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D. Czaja,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Znaki szczególne. Antropologia jako ćwiczenie duchowe</w:t>
            </w:r>
            <w:r>
              <w:rPr>
                <w:rFonts w:cs="Arial" w:ascii="Arial" w:hAnsi="Arial"/>
                <w:sz w:val="22"/>
                <w:szCs w:val="22"/>
              </w:rPr>
              <w:t>, Kraków 2013.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W. Kuligowski,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Antropologia refleksyjna. O rzeczywistości tekstu,</w:t>
            </w:r>
            <w:r>
              <w:rPr>
                <w:rFonts w:cs="Arial" w:ascii="Arial" w:hAnsi="Arial"/>
                <w:sz w:val="22"/>
                <w:szCs w:val="22"/>
              </w:rPr>
              <w:t xml:space="preserve"> Poznań 2001.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Wykaz literatury uzupełniającej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22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622"/>
      </w:tblGrid>
      <w:tr>
        <w:trPr>
          <w:trHeight w:val="1112" w:hRule="atLeast"/>
        </w:trPr>
        <w:tc>
          <w:tcPr>
            <w:tcW w:w="962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  <w:t>Kulturowa teoria literatury. Główne pojęcia i problemy</w:t>
            </w:r>
            <w:r>
              <w:rPr>
                <w:rFonts w:cs="Arial" w:ascii="Arial" w:hAnsi="Arial"/>
                <w:sz w:val="22"/>
                <w:szCs w:val="22"/>
              </w:rPr>
              <w:t>, red. M.P. Markowski, R. Nycz, Kraków 2002.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M. P. Markowski,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Antropologia i literatura</w:t>
            </w:r>
            <w:r>
              <w:rPr>
                <w:rFonts w:cs="Arial" w:ascii="Arial" w:hAnsi="Arial"/>
                <w:sz w:val="22"/>
                <w:szCs w:val="22"/>
              </w:rPr>
              <w:t xml:space="preserve"> [w:]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Jaka antropologia literatury jest dzisiaj możliwa?</w:t>
            </w:r>
            <w:r>
              <w:rPr>
                <w:rFonts w:cs="Arial" w:ascii="Arial" w:hAnsi="Arial"/>
                <w:sz w:val="22"/>
                <w:szCs w:val="22"/>
              </w:rPr>
              <w:t>, red. P. Czapliński, A. Legieżyńska, M. Telicki, Poznań 2010.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K. Wyka,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Słowa-klucze</w:t>
            </w:r>
            <w:r>
              <w:rPr>
                <w:rFonts w:cs="Arial" w:ascii="Arial" w:hAnsi="Arial"/>
                <w:sz w:val="22"/>
                <w:szCs w:val="22"/>
              </w:rPr>
              <w:t xml:space="preserve"> [w:]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Stylistyka polska. Wybór tekstów</w:t>
            </w:r>
            <w:r>
              <w:rPr>
                <w:rFonts w:cs="Arial" w:ascii="Arial" w:hAnsi="Arial"/>
                <w:sz w:val="22"/>
                <w:szCs w:val="22"/>
              </w:rPr>
              <w:t>, red. Miodońska-Brooks, A. Kulawik, M. Tatara, Warszawa 1973.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R. Barthes,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Od dzieła do tekstu</w:t>
            </w:r>
            <w:r>
              <w:rPr>
                <w:rFonts w:cs="Arial" w:ascii="Arial" w:hAnsi="Arial"/>
                <w:sz w:val="22"/>
                <w:szCs w:val="22"/>
              </w:rPr>
              <w:t xml:space="preserve">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Teksty drugie</w:t>
            </w:r>
            <w:r>
              <w:rPr>
                <w:rFonts w:cs="Arial" w:ascii="Arial" w:hAnsi="Arial"/>
                <w:sz w:val="22"/>
                <w:szCs w:val="22"/>
              </w:rPr>
              <w:t xml:space="preserve"> 6/1998, s. 187-195.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L. Kołakowski,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Obecność mitu</w:t>
            </w:r>
            <w:r>
              <w:rPr>
                <w:rFonts w:cs="Arial" w:ascii="Arial" w:hAnsi="Arial"/>
                <w:sz w:val="22"/>
                <w:szCs w:val="22"/>
              </w:rPr>
              <w:t>,  Warszawa 2005.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G. Steiner,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Rzeczywiste obecności</w:t>
            </w:r>
            <w:r>
              <w:rPr>
                <w:rFonts w:cs="Arial" w:ascii="Arial" w:hAnsi="Arial"/>
                <w:sz w:val="22"/>
                <w:szCs w:val="22"/>
              </w:rPr>
              <w:t>, przeł. O. Kubińska, Gdańsk 1997.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P. Próchniak,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Rachunek strat. Poezja-krytyka-lektura</w:t>
            </w:r>
            <w:r>
              <w:rPr>
                <w:rFonts w:cs="Arial" w:ascii="Arial" w:hAnsi="Arial"/>
                <w:sz w:val="22"/>
                <w:szCs w:val="22"/>
              </w:rPr>
              <w:t>, Kraków 2017.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J-P. Richard,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Poezja i głębia</w:t>
            </w:r>
            <w:r>
              <w:rPr>
                <w:rFonts w:cs="Arial" w:ascii="Arial" w:hAnsi="Arial"/>
                <w:sz w:val="22"/>
                <w:szCs w:val="22"/>
              </w:rPr>
              <w:t>, przekład i posłowie T. Swoboda, Gdańsk 2008.</w:t>
            </w:r>
          </w:p>
        </w:tc>
      </w:tr>
    </w:tbl>
    <w:p>
      <w:pPr>
        <w:pStyle w:val="Tekstdymka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ekstdymka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Bilans godzinowy zgodny z CNPS (Całkowity Nakład Pracy Studenta)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58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766"/>
        <w:gridCol w:w="5747"/>
        <w:gridCol w:w="1069"/>
      </w:tblGrid>
      <w:tr>
        <w:trPr>
          <w:trHeight w:val="334" w:hRule="atLeast"/>
          <w:cantSplit w:val="true"/>
        </w:trPr>
        <w:tc>
          <w:tcPr>
            <w:tcW w:w="2766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47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8</w:t>
            </w:r>
          </w:p>
        </w:tc>
      </w:tr>
      <w:tr>
        <w:trPr>
          <w:trHeight w:val="332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7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8</w:t>
            </w:r>
          </w:p>
        </w:tc>
      </w:tr>
      <w:tr>
        <w:trPr>
          <w:trHeight w:val="670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7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</w:tr>
      <w:tr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47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16</w:t>
            </w:r>
          </w:p>
        </w:tc>
      </w:tr>
      <w:tr>
        <w:trPr>
          <w:trHeight w:val="710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7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</w:tr>
      <w:tr>
        <w:trPr>
          <w:trHeight w:val="731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7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16</w:t>
            </w:r>
          </w:p>
        </w:tc>
      </w:tr>
      <w:tr>
        <w:trPr>
          <w:trHeight w:val="365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7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</w:tr>
      <w:tr>
        <w:trPr>
          <w:trHeight w:val="365" w:hRule="atLeast"/>
        </w:trPr>
        <w:tc>
          <w:tcPr>
            <w:tcW w:w="8513" w:type="dxa"/>
            <w:gridSpan w:val="2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48</w:t>
            </w:r>
          </w:p>
        </w:tc>
      </w:tr>
      <w:tr>
        <w:trPr>
          <w:trHeight w:val="392" w:hRule="atLeast"/>
        </w:trPr>
        <w:tc>
          <w:tcPr>
            <w:tcW w:w="8513" w:type="dxa"/>
            <w:gridSpan w:val="2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2</w:t>
            </w:r>
          </w:p>
        </w:tc>
      </w:tr>
    </w:tbl>
    <w:p>
      <w:pPr>
        <w:pStyle w:val="Tekstdymka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454" w:top="1276" w:footer="709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Verdana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0"/>
      <w:jc w:val="end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0"/>
      <w:jc w:val="end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user" w:customStyle="1">
    <w:name w:val="Znaki numeracji (user)"/>
    <w:qFormat/>
    <w:rPr/>
  </w:style>
  <w:style w:type="character" w:styleId="PageNumber">
    <w:name w:val="page number"/>
    <w:semiHidden/>
    <w:rPr>
      <w:sz w:val="14"/>
      <w:szCs w:val="14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Znakiprzypiswdolnych">
    <w:name w:val="Znaki przypisów dolnych"/>
    <w:semiHidden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BalloonText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semiHidden/>
    <w:qFormat/>
    <w:rsid w:val="009026ff"/>
    <w:rPr/>
  </w:style>
  <w:style w:type="character" w:styleId="TematkomentarzaZnak" w:customStyle="1">
    <w:name w:val="Temat komentarza Znak"/>
    <w:link w:val="annotationsubject"/>
    <w:uiPriority w:val="99"/>
    <w:semiHidden/>
    <w:qFormat/>
    <w:rsid w:val="009026ff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semiHidden/>
    <w:pPr>
      <w:spacing w:before="0" w:after="120"/>
    </w:pPr>
    <w:rPr/>
  </w:style>
  <w:style w:type="paragraph" w:styleId="List">
    <w:name w:val="List"/>
    <w:basedOn w:val="BodyText"/>
    <w:semiHidden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semiHidden/>
    <w:pPr>
      <w:keepNext w:val="true"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semiHidden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tabeliuser" w:customStyle="1">
    <w:name w:val="Zawartość tabeli (user)"/>
    <w:basedOn w:val="Normal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  <w:i/>
      <w:iCs/>
    </w:rPr>
  </w:style>
  <w:style w:type="paragraph" w:styleId="Zawartoramkiuser" w:customStyle="1">
    <w:name w:val="Zawartość ramki (user)"/>
    <w:basedOn w:val="BodyText"/>
    <w:qFormat/>
    <w:pPr/>
    <w:rPr/>
  </w:style>
  <w:style w:type="paragraph" w:styleId="CommentText">
    <w:name w:val="annotation text"/>
    <w:basedOn w:val="Normal"/>
    <w:link w:val="TekstkomentarzaZnak"/>
    <w:semiHidden/>
    <w:pPr/>
    <w:rPr>
      <w:sz w:val="20"/>
      <w:szCs w:val="20"/>
    </w:rPr>
  </w:style>
  <w:style w:type="paragraph" w:styleId="Tematkomentarza1" w:customStyle="1">
    <w:name w:val="Temat komentarza1"/>
    <w:basedOn w:val="CommentText"/>
    <w:next w:val="CommentText"/>
    <w:qFormat/>
    <w:pPr/>
    <w:rPr>
      <w:b/>
      <w:bCs/>
    </w:rPr>
  </w:style>
  <w:style w:type="paragraph" w:styleId="Tekstdymka1" w:customStyle="1">
    <w:name w:val="Tekst dymka1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pPr/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27d3b"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9026ff"/>
    <w:pPr/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Application>LibreOffice/25.8.3.2$Windows_X86_64 LibreOffice_project/8ca8d55c161d602844f5428fa4b58097424e324e</Application>
  <AppVersion>15.0000</AppVersion>
  <Pages>4</Pages>
  <Words>606</Words>
  <Characters>4062</Characters>
  <CharactersWithSpaces>4561</CharactersWithSpaces>
  <Paragraphs>111</Paragraphs>
  <Company>Akademia Pedagogiczna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2024-03-01T17:52:00Z</dcterms:created>
  <dc:creator>Barbara Wilk</dc:creator>
  <dc:description/>
  <dc:language>pl-PL</dc:language>
  <cp:lastModifiedBy/>
  <cp:lastPrinted>2012-01-27T07:28:00Z</cp:lastPrinted>
  <dcterms:modified xsi:type="dcterms:W3CDTF">2026-03-05T15:29:55Z</dcterms:modified>
  <cp:revision>14</cp:revision>
  <dc:subject/>
  <dc:title>KARTA KURSU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